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504"/>
      </w:tblGrid>
      <w:tr>
        <w:trPr>
          <w:trHeight w:val="7380" w:hRule="atLeast"/>
        </w:trPr>
        <w:tc>
          <w:tcPr>
            <w:tcW w:w="85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36"/>
                <w:szCs w:val="36"/>
              </w:rPr>
              <w:t>PROCEDIMENTO OPERACIONAL PADRÃO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36"/>
                <w:szCs w:val="36"/>
              </w:rPr>
              <w:t>ELABORAÇÃO E MANUTENÇÃO DOS ARQUIVOS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Aprovação: </w:t>
            </w:r>
            <w:r>
              <w:rPr>
                <w:rFonts w:eastAsia="Arial" w:cs="Arial" w:ascii="Arial" w:hAnsi="Arial"/>
                <w:color w:val="000000"/>
                <w:highlight w:val="yellow"/>
              </w:rPr>
              <w:t>xx/xx/xxxx20/08/2015</w:t>
            </w:r>
          </w:p>
          <w:p>
            <w:pPr>
              <w:pStyle w:val="Normal"/>
              <w:widowControl w:val="false"/>
              <w:spacing w:lineRule="auto" w:line="276" w:before="0" w:after="0"/>
              <w:rPr/>
            </w:pPr>
            <w:r>
              <w:rPr>
                <w:rFonts w:eastAsia="Arial" w:cs="Arial" w:ascii="Arial" w:hAnsi="Arial"/>
                <w:color w:val="000000"/>
              </w:rPr>
              <w:t>Versão: 01/202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Arial" w:cs="Arial" w:ascii="Arial" w:hAnsi="Arial"/>
                <w:color w:val="000000"/>
              </w:rPr>
              <w:t>Total de Páginas: 08</w:t>
            </w:r>
          </w:p>
          <w:p>
            <w:pPr>
              <w:pStyle w:val="Normal"/>
              <w:widowControl w:val="false"/>
              <w:spacing w:lineRule="auto" w:line="276" w:before="0" w:after="0"/>
              <w:rPr/>
            </w:pPr>
            <w:r>
              <w:rPr>
                <w:rFonts w:eastAsia="Arial" w:cs="Arial" w:ascii="Arial" w:hAnsi="Arial"/>
                <w:color w:val="000000"/>
              </w:rPr>
              <w:t>Elaboração: xxxxxxxxx</w:t>
            </w:r>
          </w:p>
          <w:p>
            <w:pPr>
              <w:pStyle w:val="Normal"/>
              <w:widowControl w:val="false"/>
              <w:spacing w:lineRule="auto" w:line="276" w:before="0" w:after="0"/>
              <w:rPr/>
            </w:pPr>
            <w:r>
              <w:rPr>
                <w:rFonts w:eastAsia="Arial" w:cs="Arial" w:ascii="Arial" w:hAnsi="Arial"/>
              </w:rPr>
              <w:t xml:space="preserve">Revisão: </w:t>
            </w:r>
            <w:r>
              <w:rPr>
                <w:rFonts w:eastAsia="Arial" w:cs="Arial" w:ascii="Arial" w:hAnsi="Arial"/>
                <w:sz w:val="24"/>
                <w:szCs w:val="24"/>
              </w:rPr>
              <w:t>xxxxxxxxx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pacing w:before="240" w:after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Sumário</w:t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rPr>
              <w:color w:val="000000"/>
            </w:rPr>
          </w:pPr>
          <w:r>
            <w:fldChar w:fldCharType="begin"/>
          </w:r>
          <w:r>
            <w:rPr>
              <w:webHidden/>
              <w:rStyle w:val="Vnculodendice"/>
              <w:b/>
              <w:vanish w:val="false"/>
              <w:rFonts w:eastAsia="Arial" w:cs="Arial" w:ascii="Arial" w:hAnsi="Arial"/>
              <w:color w:val="000000"/>
            </w:rPr>
            <w:instrText> TOC \z \o "1-9" \u \h</w:instrText>
          </w:r>
          <w:r>
            <w:rPr>
              <w:webHidden/>
              <w:rStyle w:val="Vnculodendice"/>
              <w:b/>
              <w:vanish w:val="false"/>
              <w:rFonts w:eastAsia="Arial" w:cs="Arial" w:ascii="Arial" w:hAnsi="Arial"/>
              <w:color w:val="000000"/>
            </w:rPr>
            <w:fldChar w:fldCharType="separate"/>
          </w:r>
          <w:hyperlink w:anchor="_30j0zll">
            <w:r>
              <w:rPr>
                <w:webHidden/>
                <w:rStyle w:val="Vnculodendice"/>
                <w:rFonts w:eastAsia="Arial" w:cs="Arial" w:ascii="Arial" w:hAnsi="Arial"/>
                <w:b/>
                <w:vanish w:val="false"/>
                <w:color w:val="000000"/>
              </w:rPr>
              <w:t>1 INTRODUÇÃO</w:t>
            </w:r>
          </w:hyperlink>
          <w:hyperlink w:anchor="_30j0zll">
            <w:r>
              <w:rPr>
                <w:webHidden/>
                <w:rStyle w:val="Vnculodendice"/>
                <w:vanish w:val="false"/>
                <w:color w:val="000000"/>
              </w:rPr>
              <w:tab/>
              <w:t>3</w:t>
            </w:r>
          </w:hyperlink>
        </w:p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rPr>
              <w:color w:val="000000"/>
            </w:rPr>
          </w:pPr>
          <w:hyperlink w:anchor="_1fob9te">
            <w:r>
              <w:rPr>
                <w:webHidden/>
                <w:rStyle w:val="Vnculodendice"/>
                <w:rFonts w:eastAsia="Arial" w:cs="Arial" w:ascii="Arial" w:hAnsi="Arial"/>
                <w:b/>
                <w:vanish w:val="false"/>
                <w:color w:val="000000"/>
              </w:rPr>
              <w:t>2 OBJETIVOS</w:t>
            </w:r>
          </w:hyperlink>
          <w:hyperlink w:anchor="_1fob9te">
            <w:r>
              <w:rPr>
                <w:webHidden/>
                <w:rStyle w:val="Vnculodendice"/>
                <w:vanish w:val="false"/>
                <w:color w:val="000000"/>
              </w:rPr>
              <w:tab/>
              <w:t>4</w:t>
            </w:r>
          </w:hyperlink>
        </w:p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rPr>
              <w:color w:val="000000"/>
            </w:rPr>
          </w:pPr>
          <w:hyperlink w:anchor="_3znysh7">
            <w:r>
              <w:rPr>
                <w:webHidden/>
                <w:rStyle w:val="Vnculodendice"/>
                <w:rFonts w:eastAsia="Arial" w:cs="Arial" w:ascii="Arial" w:hAnsi="Arial"/>
                <w:b/>
                <w:vanish w:val="false"/>
                <w:color w:val="000000"/>
              </w:rPr>
              <w:t>3 ÁREAS ENVOLVIDAS</w:t>
            </w:r>
          </w:hyperlink>
          <w:hyperlink w:anchor="_3znysh7">
            <w:r>
              <w:rPr>
                <w:webHidden/>
                <w:rStyle w:val="Vnculodendice"/>
                <w:vanish w:val="false"/>
                <w:color w:val="000000"/>
              </w:rPr>
              <w:tab/>
              <w:t>4</w:t>
            </w:r>
          </w:hyperlink>
        </w:p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rPr>
              <w:color w:val="000000"/>
            </w:rPr>
          </w:pPr>
          <w:hyperlink w:anchor="_2et92p0">
            <w:r>
              <w:rPr>
                <w:webHidden/>
                <w:rStyle w:val="Vnculodendice"/>
                <w:rFonts w:eastAsia="Arial" w:cs="Arial" w:ascii="Arial" w:hAnsi="Arial"/>
                <w:b/>
                <w:vanish w:val="false"/>
                <w:color w:val="000000"/>
              </w:rPr>
              <w:t>4 DEFINIÇÕES</w:t>
            </w:r>
          </w:hyperlink>
          <w:hyperlink w:anchor="_2et92p0">
            <w:r>
              <w:rPr>
                <w:webHidden/>
                <w:rStyle w:val="Vnculodendice"/>
                <w:vanish w:val="false"/>
                <w:color w:val="000000"/>
              </w:rPr>
              <w:tab/>
              <w:t>5</w:t>
            </w:r>
          </w:hyperlink>
        </w:p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rPr>
              <w:color w:val="000000"/>
            </w:rPr>
          </w:pPr>
          <w:hyperlink w:anchor="_tyjcwt">
            <w:r>
              <w:rPr>
                <w:webHidden/>
                <w:rStyle w:val="Vnculodendice"/>
                <w:rFonts w:eastAsia="Arial" w:cs="Arial" w:ascii="Arial" w:hAnsi="Arial"/>
                <w:b/>
                <w:vanish w:val="false"/>
                <w:color w:val="000000"/>
              </w:rPr>
              <w:t>5 REFERÊNCIAS</w:t>
            </w:r>
          </w:hyperlink>
          <w:hyperlink w:anchor="_tyjcwt">
            <w:r>
              <w:rPr>
                <w:webHidden/>
                <w:rStyle w:val="Vnculodendice"/>
                <w:vanish w:val="false"/>
                <w:color w:val="000000"/>
              </w:rPr>
              <w:tab/>
              <w:t>6</w:t>
            </w:r>
          </w:hyperlink>
        </w:p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rPr>
              <w:color w:val="000000"/>
            </w:rPr>
          </w:pPr>
          <w:hyperlink w:anchor="_3dy6vkm">
            <w:r>
              <w:rPr>
                <w:webHidden/>
                <w:rStyle w:val="Vnculodendice"/>
                <w:rFonts w:eastAsia="Arial" w:cs="Arial" w:ascii="Arial" w:hAnsi="Arial"/>
                <w:b/>
                <w:vanish w:val="false"/>
                <w:color w:val="000000"/>
              </w:rPr>
              <w:t>6 PROCEDIMENTO</w:t>
            </w:r>
          </w:hyperlink>
          <w:hyperlink w:anchor="_3dy6vkm">
            <w:r>
              <w:rPr>
                <w:webHidden/>
                <w:rStyle w:val="Vnculodendice"/>
                <w:vanish w:val="false"/>
                <w:color w:val="000000"/>
              </w:rPr>
              <w:tab/>
              <w:t>7</w:t>
            </w:r>
          </w:hyperlink>
        </w:p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ind w:left="220" w:hanging="0"/>
            <w:rPr>
              <w:color w:val="000000"/>
            </w:rPr>
          </w:pPr>
          <w:hyperlink w:anchor="_1t3h5sf">
            <w:r>
              <w:rPr>
                <w:webHidden/>
                <w:rStyle w:val="Vnculodendice"/>
                <w:rFonts w:eastAsia="Arial" w:cs="Arial" w:ascii="Arial" w:hAnsi="Arial"/>
                <w:vanish w:val="false"/>
                <w:color w:val="000000"/>
              </w:rPr>
              <w:t xml:space="preserve">6.1 </w:t>
            </w:r>
          </w:hyperlink>
          <w:hyperlink w:anchor="_1t3h5sf">
            <w:r>
              <w:rPr>
                <w:webHidden/>
                <w:rStyle w:val="Vnculodendice"/>
                <w:rFonts w:eastAsia="Arial" w:cs="Arial" w:ascii="Arial" w:hAnsi="Arial"/>
                <w:i/>
                <w:vanish w:val="false"/>
                <w:color w:val="000000"/>
              </w:rPr>
              <w:t>Binders</w:t>
            </w:r>
          </w:hyperlink>
          <w:hyperlink w:anchor="_1t3h5sf">
            <w:r>
              <w:rPr>
                <w:webHidden/>
                <w:rStyle w:val="Vnculodendice"/>
                <w:vanish w:val="false"/>
                <w:color w:val="000000"/>
              </w:rPr>
              <w:tab/>
              <w:t>8</w:t>
            </w:r>
          </w:hyperlink>
        </w:p>
        <w:p>
          <w:pPr>
            <w:pStyle w:val="Normal"/>
            <w:tabs>
              <w:tab w:val="clear" w:pos="720"/>
              <w:tab w:val="right" w:pos="8494" w:leader="none"/>
            </w:tabs>
            <w:spacing w:before="0" w:after="100"/>
            <w:ind w:left="220" w:hanging="0"/>
            <w:rPr>
              <w:color w:val="000000"/>
            </w:rPr>
          </w:pPr>
          <w:hyperlink w:anchor="_4d34og8">
            <w:r>
              <w:rPr>
                <w:webHidden/>
                <w:rStyle w:val="Vnculodendice"/>
                <w:rFonts w:eastAsia="Arial" w:cs="Arial" w:ascii="Arial" w:hAnsi="Arial"/>
                <w:vanish w:val="false"/>
                <w:color w:val="000000"/>
              </w:rPr>
              <w:t>6.2 Armazenamento dos Arquivos</w:t>
            </w:r>
          </w:hyperlink>
          <w:hyperlink w:anchor="_4d34og8">
            <w:r>
              <w:rPr>
                <w:webHidden/>
                <w:rStyle w:val="Vnculodendice"/>
                <w:vanish w:val="false"/>
                <w:color w:val="000000"/>
              </w:rPr>
              <w:tab/>
              <w:t>8</w:t>
            </w:r>
          </w:hyperlink>
          <w:r>
            <w:rPr>
              <w:rStyle w:val="Vnculodendice"/>
              <w:vanish w:val="false"/>
              <w:color w:val="000000"/>
            </w:rPr>
            <w:fldChar w:fldCharType="end"/>
          </w:r>
        </w:p>
      </w:sdtContent>
    </w:sdt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rPr/>
      </w:pPr>
      <w:r>
        <w:rPr/>
      </w:r>
      <w:bookmarkStart w:id="0" w:name="_gjdgxs"/>
      <w:bookmarkStart w:id="1" w:name="_gjdgxs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"/>
        <w:rPr>
          <w:rFonts w:ascii="Arial" w:hAnsi="Arial" w:eastAsia="Arial" w:cs="Arial"/>
          <w:b/>
          <w:b/>
          <w:color w:val="000000"/>
          <w:sz w:val="24"/>
          <w:szCs w:val="24"/>
        </w:rPr>
      </w:pPr>
      <w:bookmarkStart w:id="2" w:name="_30j0zll"/>
      <w:bookmarkEnd w:id="2"/>
      <w:r>
        <w:rPr>
          <w:rFonts w:eastAsia="Arial" w:cs="Arial" w:ascii="Arial" w:hAnsi="Arial"/>
          <w:b/>
          <w:color w:val="000000"/>
          <w:sz w:val="24"/>
          <w:szCs w:val="24"/>
        </w:rPr>
        <w:t>1 INTRODUÇÃO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Este documento mostra como deve ser conduzido o processo de um Estudo Clínico seguindo a legislação brasileira vigente e as Boas Práticas Clínicas (BPC), a fim de promover a segurança de todas as partes envolvidas no estudo.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ab/>
        <w:t>Para seguir as normas supracitadas, é necessário que todos os profissionais da equipe envolvida no estudo tenham conhecimento dos protocolos do centro de pesquisa, para que desta maneira a equipe possa monitorar todo o processo, garantindo a eficácia dos resultados e a segurança de todos os envolvidos nos estudos.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Ttulo1"/>
        <w:rPr>
          <w:rFonts w:ascii="Arial" w:hAnsi="Arial" w:eastAsia="Arial" w:cs="Arial"/>
          <w:b/>
          <w:b/>
          <w:color w:val="000000"/>
          <w:sz w:val="24"/>
          <w:szCs w:val="24"/>
        </w:rPr>
      </w:pPr>
      <w:bookmarkStart w:id="3" w:name="_1fob9te"/>
      <w:bookmarkEnd w:id="3"/>
      <w:r>
        <w:rPr>
          <w:rFonts w:eastAsia="Arial" w:cs="Arial" w:ascii="Arial" w:hAnsi="Arial"/>
          <w:b/>
          <w:color w:val="000000"/>
          <w:sz w:val="24"/>
          <w:szCs w:val="24"/>
        </w:rPr>
        <w:t>2 OBJETIVOS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ab/>
        <w:t>O objetivo deste POP é descrever de forma detalhada como deve ocorrer todo o procedimento, em todas as suas etapas, para que os profissionais do Centro de Estudos -sigam o protocolo de forma padronizada, garantindo a qualidade no desempenho deste processo.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Ttulo1"/>
        <w:rPr>
          <w:b/>
          <w:b/>
          <w:color w:val="000000"/>
        </w:rPr>
      </w:pPr>
      <w:bookmarkStart w:id="4" w:name="_3znysh7"/>
      <w:bookmarkEnd w:id="4"/>
      <w:r>
        <w:rPr>
          <w:rFonts w:eastAsia="Arial" w:cs="Arial" w:ascii="Arial" w:hAnsi="Arial"/>
          <w:b/>
          <w:color w:val="000000"/>
          <w:sz w:val="24"/>
          <w:szCs w:val="24"/>
        </w:rPr>
        <w:t>3 ÁREAS ENVOLVIDAS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Centro Cirúrgico;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Corpo Médico;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Equipe Assistencial;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Farmácia;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Enfermagem;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Infraestrutura;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Laboratório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Manutenção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Engenharia Clínica;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Pronto-Socorro;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Qualidade;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UTI Adulto;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color w:val="000000"/>
          <w:highlight w:val="yellow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Unidades de Internação.</w:t>
      </w:r>
    </w:p>
    <w:p>
      <w:pPr>
        <w:pStyle w:val="Normal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Ttulo1"/>
        <w:rPr>
          <w:rFonts w:ascii="Arial" w:hAnsi="Arial" w:eastAsia="Arial" w:cs="Arial"/>
          <w:b/>
          <w:b/>
          <w:color w:val="000000"/>
          <w:sz w:val="24"/>
          <w:szCs w:val="24"/>
        </w:rPr>
      </w:pPr>
      <w:bookmarkStart w:id="5" w:name="_2et92p0"/>
      <w:bookmarkEnd w:id="5"/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4 DEFINIÇÕES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ANVISA</w:t>
        <w:tab/>
        <w:t>Agência Nacional de Vigilância Sanitária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BPC</w:t>
        <w:tab/>
        <w:tab/>
        <w:t>Boas Práticas Clínicas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 xml:space="preserve">CEI </w:t>
        <w:tab/>
        <w:tab/>
        <w:t>Comitê Independente de Ética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CEP</w:t>
        <w:tab/>
        <w:tab/>
        <w:t>Comitê de Ética em Pesquisa em Seres Humanos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CONEP</w:t>
        <w:tab/>
        <w:t>Comissão Nacional de Ética em Pesquisa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CRF</w:t>
        <w:tab/>
        <w:tab/>
        <w:t>Formulário de Relato de Caso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Verdana" w:cs="Verdana" w:ascii="Verdana" w:hAnsi="Verdana"/>
          <w:color w:val="000000"/>
          <w:highlight w:val="white"/>
        </w:rPr>
        <w:t>CRO</w:t>
        <w:tab/>
        <w:tab/>
        <w:t>C</w:t>
      </w:r>
      <w:r>
        <w:rPr>
          <w:rFonts w:eastAsia="Verdana" w:cs="Verdana" w:ascii="Verdana" w:hAnsi="Verdana"/>
          <w:i/>
          <w:color w:val="000000"/>
          <w:highlight w:val="white"/>
        </w:rPr>
        <w:t>ontract Research Organization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 xml:space="preserve">GCP </w:t>
        <w:tab/>
        <w:tab/>
      </w:r>
      <w:r>
        <w:rPr>
          <w:rFonts w:eastAsia="Arial" w:cs="Arial" w:ascii="Arial" w:hAnsi="Arial"/>
          <w:i/>
          <w:color w:val="000000"/>
        </w:rPr>
        <w:t>Good Clinical Practice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INMETRO</w:t>
        <w:tab/>
        <w:t>Instituto Nacional de Metrologia, Normalização e Qualidade Industrial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IP</w:t>
        <w:tab/>
        <w:tab/>
        <w:t>Investigador Principal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ORPC</w:t>
        <w:tab/>
        <w:tab/>
        <w:t>Organizações Representativas de Pesquisa Clínicas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PI</w:t>
        <w:tab/>
        <w:tab/>
        <w:t>Produto Investigacional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RSS</w:t>
        <w:tab/>
        <w:tab/>
        <w:t>Resíduos de Serviço de Saúde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SAE</w:t>
        <w:tab/>
        <w:tab/>
        <w:t xml:space="preserve">Evento Adverso Sério 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SUS</w:t>
        <w:tab/>
        <w:tab/>
        <w:t>Sistema Único de Saúde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Arial" w:cs="Arial" w:ascii="Arial" w:hAnsi="Arial"/>
          <w:color w:val="000000"/>
        </w:rPr>
        <w:t>TCLE</w:t>
        <w:tab/>
        <w:tab/>
        <w:t>Termo de Consentimento Livre Esclarecido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UTI</w:t>
        <w:tab/>
        <w:tab/>
        <w:t>Unidade de Terapia Intensiva</w:t>
      </w:r>
    </w:p>
    <w:p>
      <w:pPr>
        <w:pStyle w:val="Normal"/>
        <w:spacing w:lineRule="auto" w:line="360" w:before="0" w:after="0"/>
        <w:ind w:left="720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Ttulo1"/>
        <w:rPr>
          <w:rFonts w:ascii="Arial" w:hAnsi="Arial" w:eastAsia="Arial" w:cs="Arial"/>
          <w:b/>
          <w:b/>
          <w:color w:val="000000"/>
          <w:sz w:val="24"/>
          <w:szCs w:val="24"/>
        </w:rPr>
      </w:pPr>
      <w:bookmarkStart w:id="6" w:name="_tyjcwt"/>
      <w:bookmarkEnd w:id="6"/>
      <w:r>
        <w:rPr>
          <w:rFonts w:eastAsia="Arial" w:cs="Arial" w:ascii="Arial" w:hAnsi="Arial"/>
          <w:b/>
          <w:color w:val="000000"/>
          <w:sz w:val="24"/>
          <w:szCs w:val="24"/>
        </w:rPr>
        <w:t>5 REFERÊNCIAS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Clínicas, Boas Práticas. “Documento das Américas”. IV CONFERÊNCIA PAN-AMERICANA PARA HARMONIZAÇÃO DA REGULAMENTAÇÃO FARMACÊUTICA. República Dominicana: Conferência. 2005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INSTRUÇÃO NORMATIVA Nº 4, DE 11/05/09. Disponível em: http://anvisa.gov.br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DE NUREMBERG, Código. Tribunal Internacional de Nuremberg, 1947. Disponível em URL: http://www.bioeticanet.info/documentos/Nuremberg. pdf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MUNDIAL, Associação Médica. Declaração de Helsinque. Princípios éticos para a pesquisa em seres humanos. Helsinque, 1964.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BRASIL. MINISTÉRIO DA SAÚDE (MS). Conselho Nacional de Saúde. Resolução nº. 196 de 10 de outubro de 1996. Diretrizes e Normas Regulamentadoras de Pesquisas Envolvendo Seres Humanos. 1996.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BRASIL. MINISTÉRIO DA SAÚDE (MS). Conselho Nacional de Saúde. Resolução nº. 240 de 05 de junho de 1997. Carlos César S. de Albuquerque, Ministro de Estado da Saúde, 1997.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BRASIL, MINISTÉRIO DA SAÚDE (MS). Conselho Nacional de Saúde. Resolução nº 251 de 07 de agosto. Aprova as Normas para a Área de Pesquisa com Novos Fármacos, Medicamentos, Vacinas e Testes Diagnósticos, 1997</w:t>
      </w:r>
      <w:r>
        <w:br w:type="page"/>
      </w:r>
    </w:p>
    <w:p>
      <w:pPr>
        <w:pStyle w:val="Ttulo1"/>
        <w:rPr>
          <w:b/>
          <w:b/>
        </w:rPr>
      </w:pPr>
      <w:bookmarkStart w:id="7" w:name="_3dy6vkm"/>
      <w:bookmarkEnd w:id="7"/>
      <w:r>
        <w:rPr>
          <w:rFonts w:eastAsia="Arial" w:cs="Arial" w:ascii="Arial" w:hAnsi="Arial"/>
          <w:b/>
          <w:color w:val="000000"/>
          <w:sz w:val="24"/>
          <w:szCs w:val="24"/>
        </w:rPr>
        <w:t>6 PROCEDIMENTO</w:t>
      </w:r>
    </w:p>
    <w:p>
      <w:pPr>
        <w:pStyle w:val="Normal"/>
        <w:spacing w:before="0" w:after="240"/>
        <w:rPr/>
      </w:pPr>
      <w:r>
        <w:rPr/>
      </w:r>
    </w:p>
    <w:p>
      <w:pPr>
        <w:pStyle w:val="Normal"/>
        <w:spacing w:lineRule="auto" w:line="360" w:before="0" w:after="0"/>
        <w:ind w:firstLine="71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É de responsabilidade do Centro de Estudos realizar o envio de desvios de protocolo, relatórios e eventos adversos sérios para o Comitê de Ética (conforme processo descrito nos documentos de </w:t>
      </w:r>
      <w:r>
        <w:rPr>
          <w:rFonts w:eastAsia="Arial" w:cs="Arial" w:ascii="Arial" w:hAnsi="Arial"/>
          <w:i/>
          <w:color w:val="000000"/>
          <w:sz w:val="24"/>
          <w:szCs w:val="24"/>
        </w:rPr>
        <w:t>Work Instructions</w:t>
      </w:r>
      <w:r>
        <w:rPr>
          <w:rFonts w:eastAsia="Arial" w:cs="Arial" w:ascii="Arial" w:hAnsi="Arial"/>
          <w:color w:val="000000"/>
          <w:sz w:val="24"/>
          <w:szCs w:val="24"/>
        </w:rPr>
        <w:t>) referente a cada protocolo de estudo, arquivamento e guarda de documentos relevantes de cada estudo clínico, manter o anonimato dos participantes de estudo, preenchimento da CRF em até 24 horas após as visitas, marcação de consultas, esclarecimento de protocolo e manter a interface entre PI e participantes de estudo.</w:t>
      </w:r>
    </w:p>
    <w:p>
      <w:pPr>
        <w:pStyle w:val="Normal"/>
        <w:spacing w:lineRule="auto" w:line="360" w:before="0" w:after="0"/>
        <w:ind w:firstLine="7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yellow"/>
        </w:rPr>
      </w:pP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>Mensalmente ocorre uma reunião de equipe no Centro de Estudos, entre Coordenadores, Diretor e Investigadores, para discutirem a respeito dos estudos em andamento, é realizada uma ata formalizando a reunião. A cada dois meses, a diretoria executiva do Centro de Estudo se reúne e também é realizada a ata formalizando a reunião.</w:t>
      </w:r>
    </w:p>
    <w:p>
      <w:pPr>
        <w:pStyle w:val="Normal"/>
        <w:spacing w:lineRule="auto" w:line="360" w:before="0" w:after="0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Toda a documentação do estudo está contida nos </w:t>
      </w:r>
      <w:r>
        <w:rPr>
          <w:rFonts w:eastAsia="Arial" w:cs="Arial" w:ascii="Arial" w:hAnsi="Arial"/>
          <w:i/>
          <w:color w:val="000000"/>
          <w:sz w:val="24"/>
          <w:szCs w:val="24"/>
        </w:rPr>
        <w:t>binders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e estes se encontram nos armários com tranca localizados no Centro de Estudos, onde apenas os que são delegados para os estudos podem ter acesso.</w:t>
      </w:r>
    </w:p>
    <w:p>
      <w:pPr>
        <w:pStyle w:val="Normal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Ttulo2"/>
        <w:spacing w:before="360" w:after="120"/>
        <w:ind w:firstLine="999"/>
        <w:jc w:val="both"/>
        <w:rPr>
          <w:rFonts w:ascii="Arial" w:hAnsi="Arial" w:eastAsia="Arial" w:cs="Arial"/>
          <w:i/>
          <w:i/>
          <w:color w:val="000000"/>
          <w:sz w:val="24"/>
          <w:szCs w:val="24"/>
        </w:rPr>
      </w:pPr>
      <w:bookmarkStart w:id="8" w:name="_1t3h5sf"/>
      <w:bookmarkEnd w:id="8"/>
      <w:r>
        <w:rPr>
          <w:rFonts w:eastAsia="Arial" w:cs="Arial" w:ascii="Arial" w:hAnsi="Arial"/>
          <w:color w:val="000000"/>
          <w:sz w:val="24"/>
          <w:szCs w:val="24"/>
        </w:rPr>
        <w:t xml:space="preserve">6.1 </w:t>
      </w:r>
      <w:r>
        <w:rPr>
          <w:rFonts w:eastAsia="Arial" w:cs="Arial" w:ascii="Arial" w:hAnsi="Arial"/>
          <w:i/>
          <w:color w:val="000000"/>
          <w:sz w:val="24"/>
          <w:szCs w:val="24"/>
        </w:rPr>
        <w:t>Binders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Arial" w:cs="Arial"/>
          <w:color w:val="212121"/>
          <w:sz w:val="24"/>
          <w:szCs w:val="24"/>
        </w:rPr>
      </w:pPr>
      <w:r>
        <w:rPr>
          <w:rFonts w:eastAsia="Arial" w:cs="Arial" w:ascii="Arial" w:hAnsi="Arial"/>
          <w:color w:val="212121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eastAsia="Arial" w:cs="Arial"/>
          <w:color w:val="212121"/>
          <w:sz w:val="24"/>
          <w:szCs w:val="24"/>
          <w:highlight w:val="white"/>
        </w:rPr>
      </w:pP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 xml:space="preserve">A elaboração dos arquivos é realizada de acordo com o decorrer do estudo, através do andamento do mesmo. A maioria dos documentos referente ao estudo já se encontram nos </w:t>
      </w:r>
      <w:r>
        <w:rPr>
          <w:rFonts w:eastAsia="Arial" w:cs="Arial" w:ascii="Arial" w:hAnsi="Arial"/>
          <w:i/>
          <w:color w:val="212121"/>
          <w:sz w:val="24"/>
          <w:szCs w:val="24"/>
          <w:highlight w:val="white"/>
        </w:rPr>
        <w:t>binde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r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 xml:space="preserve">enviados pelo patrocinador, sendo necessária apenas a inclusão e manutenção dos demais, por exemplo: evento adverso sério, desvios identificados, </w:t>
      </w:r>
      <w:r>
        <w:rPr>
          <w:rFonts w:eastAsia="Arial" w:cs="Arial" w:ascii="Arial" w:hAnsi="Arial"/>
          <w:i/>
          <w:color w:val="212121"/>
          <w:sz w:val="24"/>
          <w:szCs w:val="24"/>
          <w:highlight w:val="white"/>
        </w:rPr>
        <w:t>newsletters</w:t>
      </w: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 xml:space="preserve"> etc.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tulo2"/>
        <w:ind w:firstLine="708"/>
        <w:rPr>
          <w:rFonts w:ascii="Arial" w:hAnsi="Arial" w:eastAsia="Arial" w:cs="Arial"/>
          <w:color w:val="000000"/>
          <w:sz w:val="24"/>
          <w:szCs w:val="24"/>
        </w:rPr>
      </w:pPr>
      <w:bookmarkStart w:id="9" w:name="_4d34og8"/>
      <w:bookmarkEnd w:id="9"/>
      <w:r>
        <w:rPr>
          <w:rFonts w:eastAsia="Arial" w:cs="Arial" w:ascii="Arial" w:hAnsi="Arial"/>
          <w:color w:val="000000"/>
          <w:sz w:val="24"/>
          <w:szCs w:val="24"/>
        </w:rPr>
        <w:t>6.2 Armazenamento dos Arquivos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Arial" w:hAnsi="Arial" w:eastAsia="Arial" w:cs="Arial"/>
          <w:color w:val="212121"/>
          <w:sz w:val="24"/>
          <w:szCs w:val="24"/>
          <w:highlight w:val="white"/>
        </w:rPr>
      </w:pP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>Todos os documentos referentes aos estudos são identificados e armazenados nos armários localizados no Centro de Estudos, apenas pessoas delegadas podem ter acesso a estes armários e suas chaves.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 xml:space="preserve">Para garantir o armazenamento correto é feito um </w:t>
      </w:r>
      <w:r>
        <w:rPr>
          <w:rFonts w:eastAsia="Arial" w:cs="Arial" w:ascii="Arial" w:hAnsi="Arial"/>
          <w:i/>
          <w:color w:val="212121"/>
          <w:sz w:val="24"/>
          <w:szCs w:val="24"/>
          <w:highlight w:val="white"/>
        </w:rPr>
        <w:t>double check</w:t>
      </w: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 xml:space="preserve"> pelos assistentes e coordenadores em todos os documentos, para garantir que estes foram arquivados corretamente.</w:t>
      </w:r>
    </w:p>
    <w:p>
      <w:pPr>
        <w:pStyle w:val="Normal"/>
        <w:spacing w:lineRule="auto" w:line="360" w:before="0" w:after="0"/>
        <w:ind w:firstLine="720"/>
        <w:jc w:val="both"/>
        <w:rPr>
          <w:rFonts w:ascii="Arial" w:hAnsi="Arial" w:eastAsia="Arial" w:cs="Arial"/>
          <w:color w:val="212121"/>
          <w:sz w:val="24"/>
          <w:szCs w:val="24"/>
          <w:highlight w:val="white"/>
        </w:rPr>
      </w:pP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>Os estudos já encerrados ficam em um armário separado dos estudos que estão em andamento, e continuam devidamente identificados até completarem cinco anos, para garantir sua segurança.</w:t>
      </w:r>
    </w:p>
    <w:p>
      <w:pPr>
        <w:pStyle w:val="Normal"/>
        <w:spacing w:lineRule="auto" w:line="360" w:before="0" w:after="0"/>
        <w:ind w:firstLine="720"/>
        <w:jc w:val="both"/>
        <w:rPr>
          <w:rFonts w:ascii="Arial" w:hAnsi="Arial" w:eastAsia="Arial" w:cs="Arial"/>
          <w:color w:val="212121"/>
          <w:sz w:val="24"/>
          <w:szCs w:val="24"/>
          <w:highlight w:val="white"/>
        </w:rPr>
      </w:pP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 xml:space="preserve">Após completarem cinco anos da finalização do estudo, todos os arquivos referentes ao mesmo, deverão ser armazenados em um </w:t>
      </w:r>
      <w:r>
        <w:rPr>
          <w:rFonts w:eastAsia="Arial" w:cs="Arial" w:ascii="Arial" w:hAnsi="Arial"/>
          <w:i/>
          <w:color w:val="212121"/>
          <w:sz w:val="24"/>
          <w:szCs w:val="24"/>
          <w:highlight w:val="white"/>
        </w:rPr>
        <w:t>storage (P3 Image)</w:t>
      </w:r>
      <w:r>
        <w:rPr>
          <w:rFonts w:eastAsia="Arial" w:cs="Arial" w:ascii="Arial" w:hAnsi="Arial"/>
          <w:color w:val="212121"/>
          <w:sz w:val="24"/>
          <w:szCs w:val="24"/>
          <w:highlight w:val="white"/>
        </w:rPr>
        <w:t xml:space="preserve"> contratado pela Instituição para manter a guarda dos arquivos mortos, os mantendo por mais quinze anos, de acordo com o contrato feito com o patrocinador e exigências de órgãos regulatórios.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708" w:top="833" w:footer="708" w:bottom="1417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rPr>
        <w:color w:val="000000"/>
      </w:rPr>
    </w:pPr>
    <w:r>
      <w:rPr>
        <w:color w:val="000000"/>
      </w:rPr>
    </w:r>
  </w:p>
  <w:tbl>
    <w:tblPr>
      <w:tblStyle w:val="a3"/>
      <w:tblW w:w="79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391"/>
      <w:gridCol w:w="4112"/>
      <w:gridCol w:w="1457"/>
    </w:tblGrid>
    <w:tr>
      <w:trPr>
        <w:trHeight w:val="280" w:hRule="atLeast"/>
      </w:trPr>
      <w:tc>
        <w:tcPr>
          <w:tcW w:w="23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 xml:space="preserve">Responsável </w:t>
          </w:r>
        </w:p>
      </w:tc>
      <w:tc>
        <w:tcPr>
          <w:tcW w:w="411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>Setor</w:t>
          </w:r>
        </w:p>
      </w:tc>
      <w:tc>
        <w:tcPr>
          <w:tcW w:w="145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>Assinatura</w:t>
          </w:r>
        </w:p>
      </w:tc>
    </w:tr>
    <w:tr>
      <w:trPr>
        <w:trHeight w:val="380" w:hRule="atLeast"/>
      </w:trPr>
      <w:tc>
        <w:tcPr>
          <w:tcW w:w="23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</w:r>
        </w:p>
      </w:tc>
      <w:tc>
        <w:tcPr>
          <w:tcW w:w="411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color w:val="000000"/>
              <w:sz w:val="24"/>
              <w:szCs w:val="24"/>
              <w:highlight w:val="yellow"/>
            </w:rPr>
            <w:t>Diretoria Clínica / Centro de Estudos</w:t>
          </w:r>
        </w:p>
      </w:tc>
      <w:tc>
        <w:tcPr>
          <w:tcW w:w="145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  <w:tr>
      <w:trPr>
        <w:trHeight w:val="380" w:hRule="atLeast"/>
      </w:trPr>
      <w:tc>
        <w:tcPr>
          <w:tcW w:w="23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</w:r>
        </w:p>
      </w:tc>
      <w:tc>
        <w:tcPr>
          <w:tcW w:w="411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color w:val="000000"/>
              <w:sz w:val="24"/>
              <w:szCs w:val="24"/>
              <w:highlight w:val="yellow"/>
            </w:rPr>
            <w:t>Diretoria Clínica / Centro de Estudos</w:t>
          </w:r>
        </w:p>
      </w:tc>
      <w:tc>
        <w:tcPr>
          <w:tcW w:w="145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9</w:t>
    </w:r>
    <w:r>
      <w:rPr>
        <w:color w:val="000000"/>
      </w:rPr>
      <w:fldChar w:fldCharType="end"/>
    </w:r>
    <w:r>
      <w:rPr>
        <w:color w:val="000000"/>
      </w:rPr>
      <w:t xml:space="preserve"> de 8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rPr>
        <w:color w:val="000000"/>
      </w:rPr>
    </w:pPr>
    <w:r>
      <w:rPr>
        <w:color w:val="000000"/>
      </w:rPr>
    </w:r>
  </w:p>
  <w:tbl>
    <w:tblPr>
      <w:tblStyle w:val="a2"/>
      <w:tblW w:w="79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391"/>
      <w:gridCol w:w="4112"/>
      <w:gridCol w:w="1457"/>
    </w:tblGrid>
    <w:tr>
      <w:trPr>
        <w:trHeight w:val="280" w:hRule="atLeast"/>
      </w:trPr>
      <w:tc>
        <w:tcPr>
          <w:tcW w:w="23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 xml:space="preserve">Responsável </w:t>
          </w:r>
        </w:p>
      </w:tc>
      <w:tc>
        <w:tcPr>
          <w:tcW w:w="411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>Setor</w:t>
          </w:r>
        </w:p>
      </w:tc>
      <w:tc>
        <w:tcPr>
          <w:tcW w:w="145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>Assinatura</w:t>
          </w:r>
        </w:p>
      </w:tc>
    </w:tr>
    <w:tr>
      <w:trPr>
        <w:trHeight w:val="380" w:hRule="atLeast"/>
      </w:trPr>
      <w:tc>
        <w:tcPr>
          <w:tcW w:w="23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</w:r>
        </w:p>
      </w:tc>
      <w:tc>
        <w:tcPr>
          <w:tcW w:w="411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color w:val="000000"/>
              <w:sz w:val="24"/>
              <w:szCs w:val="24"/>
              <w:highlight w:val="yellow"/>
            </w:rPr>
            <w:t>Diretoria Clínica / Centro de Estudos</w:t>
          </w:r>
        </w:p>
      </w:tc>
      <w:tc>
        <w:tcPr>
          <w:tcW w:w="145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  <w:tr>
      <w:trPr>
        <w:trHeight w:val="380" w:hRule="atLeast"/>
      </w:trPr>
      <w:tc>
        <w:tcPr>
          <w:tcW w:w="23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</w:r>
        </w:p>
      </w:tc>
      <w:tc>
        <w:tcPr>
          <w:tcW w:w="411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color w:val="000000"/>
              <w:sz w:val="24"/>
              <w:szCs w:val="24"/>
              <w:highlight w:val="yellow"/>
            </w:rPr>
            <w:t>Diretoria Clínica / Centro de Estudos</w:t>
          </w:r>
        </w:p>
      </w:tc>
      <w:tc>
        <w:tcPr>
          <w:tcW w:w="145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24"/>
        <w:szCs w:val="24"/>
      </w:rPr>
    </w:pPr>
    <w:r>
      <w:rPr/>
      <mc:AlternateContent>
        <mc:Choice Requires="wps">
          <w:drawing>
            <wp:inline distT="0" distB="0" distL="0" distR="0" wp14:anchorId="0BD80A74">
              <wp:extent cx="1592580" cy="544830"/>
              <wp:effectExtent l="0" t="0" r="0" b="0"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1920" cy="54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Forma1" path="m0,0l-2147483645,0l-2147483645,-2147483646l0,-2147483646xe" stroked="f" style="position:absolute;margin-left:0pt;margin-top:-42.9pt;width:125.3pt;height:42.8pt;mso-wrap-style:none;v-text-anchor:middle;mso-position-vertical:top" wp14:anchorId="0BD80A7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1"/>
      <w:tblW w:w="849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5340"/>
      <w:gridCol w:w="1357"/>
      <w:gridCol w:w="1802"/>
    </w:tblGrid>
    <w:tr>
      <w:trPr>
        <w:trHeight w:val="660" w:hRule="atLeast"/>
      </w:trPr>
      <w:tc>
        <w:tcPr>
          <w:tcW w:w="5340" w:type="dxa"/>
          <w:tcBorders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32"/>
              <w:szCs w:val="32"/>
            </w:rPr>
            <w:t>PROCEDIMENTO OPERACIONAL PADRÃO</w:t>
          </w:r>
        </w:p>
      </w:tc>
      <w:tc>
        <w:tcPr>
          <w:tcW w:w="3159" w:type="dxa"/>
          <w:gridSpan w:val="2"/>
          <w:tcBorders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  <w:tr>
      <w:trPr>
        <w:trHeight w:val="280" w:hRule="atLeast"/>
      </w:trPr>
      <w:tc>
        <w:tcPr>
          <w:tcW w:w="5340" w:type="dxa"/>
          <w:tcBorders>
            <w:top w:val="single" w:sz="4" w:space="0" w:color="7F7F7F"/>
            <w:bottom w:val="single" w:sz="4" w:space="0" w:color="7F7F7F"/>
            <w:right w:val="single" w:sz="4" w:space="0" w:color="000000"/>
          </w:tcBorders>
          <w:shd w:color="auto" w:fill="9CC2E5" w:val="clea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  <w:tc>
        <w:tcPr>
          <w:tcW w:w="1357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9CC2E5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i/>
              <w:color w:val="000000"/>
              <w:sz w:val="18"/>
              <w:szCs w:val="18"/>
            </w:rPr>
            <w:t>Versão</w:t>
          </w:r>
        </w:p>
      </w:tc>
      <w:tc>
        <w:tcPr>
          <w:tcW w:w="1802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9CC2E5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i/>
              <w:color w:val="000000"/>
              <w:sz w:val="18"/>
              <w:szCs w:val="18"/>
            </w:rPr>
            <w:t>Data Revisão</w:t>
          </w:r>
        </w:p>
      </w:tc>
    </w:tr>
    <w:tr>
      <w:trPr>
        <w:trHeight w:val="600" w:hRule="atLeast"/>
      </w:trPr>
      <w:tc>
        <w:tcPr>
          <w:tcW w:w="5340" w:type="dxa"/>
          <w:tcBorders>
            <w:top w:val="single" w:sz="4" w:space="0" w:color="7F7F7F"/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8"/>
              <w:szCs w:val="28"/>
            </w:rPr>
            <w:t>ELABORAÇÃO E MANUTENÇÃO DOS ARQUIVOS</w:t>
          </w:r>
        </w:p>
      </w:tc>
      <w:tc>
        <w:tcPr>
          <w:tcW w:w="1357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/>
          </w:pPr>
          <w:r>
            <w:rPr>
              <w:rFonts w:eastAsia="Arial" w:cs="Arial" w:ascii="Arial" w:hAnsi="Arial"/>
              <w:color w:val="000000"/>
              <w:sz w:val="24"/>
              <w:szCs w:val="24"/>
            </w:rPr>
            <w:t>01/2021</w:t>
          </w:r>
        </w:p>
      </w:tc>
      <w:tc>
        <w:tcPr>
          <w:tcW w:w="1802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/>
          </w:pPr>
          <w:r>
            <w:rPr>
              <w:rFonts w:eastAsia="Arial" w:cs="Arial" w:ascii="Arial" w:hAnsi="Arial"/>
              <w:color w:val="000000"/>
            </w:rPr>
            <w:t xml:space="preserve"> </w:t>
          </w:r>
          <w:r>
            <w:rPr>
              <w:rFonts w:eastAsia="Arial" w:cs="Arial" w:ascii="Arial" w:hAnsi="Arial"/>
              <w:color w:val="000000"/>
            </w:rPr>
            <w:t>03/05/2021</w:t>
          </w:r>
        </w:p>
      </w:tc>
    </w:tr>
  </w:tbl>
  <w:p>
    <w:pPr>
      <w:pStyle w:val="Normal"/>
      <w:pBdr>
        <w:bottom w:val="single" w:sz="12" w:space="0" w:color="000000"/>
      </w:pBdr>
      <w:spacing w:lineRule="auto" w:line="240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tbl>
    <w:tblPr>
      <w:tblStyle w:val="a0"/>
      <w:tblW w:w="849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5340"/>
      <w:gridCol w:w="1357"/>
      <w:gridCol w:w="1802"/>
    </w:tblGrid>
    <w:tr>
      <w:trPr>
        <w:trHeight w:val="660" w:hRule="atLeast"/>
      </w:trPr>
      <w:tc>
        <w:tcPr>
          <w:tcW w:w="5340" w:type="dxa"/>
          <w:tcBorders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32"/>
              <w:szCs w:val="32"/>
            </w:rPr>
            <w:t>PROCEDIMENTO OPERACIONAL PADRÃO</w:t>
          </w:r>
        </w:p>
      </w:tc>
      <w:tc>
        <w:tcPr>
          <w:tcW w:w="3159" w:type="dxa"/>
          <w:gridSpan w:val="2"/>
          <w:tcBorders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  <w:tr>
      <w:trPr>
        <w:trHeight w:val="280" w:hRule="atLeast"/>
      </w:trPr>
      <w:tc>
        <w:tcPr>
          <w:tcW w:w="5340" w:type="dxa"/>
          <w:tcBorders>
            <w:top w:val="single" w:sz="4" w:space="0" w:color="7F7F7F"/>
            <w:bottom w:val="single" w:sz="4" w:space="0" w:color="7F7F7F"/>
            <w:right w:val="single" w:sz="4" w:space="0" w:color="000000"/>
          </w:tcBorders>
          <w:shd w:color="auto" w:fill="9CC2E5" w:val="clea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  <w:tc>
        <w:tcPr>
          <w:tcW w:w="1357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9CC2E5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i/>
              <w:color w:val="000000"/>
              <w:sz w:val="18"/>
              <w:szCs w:val="18"/>
            </w:rPr>
            <w:t>Versão</w:t>
          </w:r>
        </w:p>
      </w:tc>
      <w:tc>
        <w:tcPr>
          <w:tcW w:w="1802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9CC2E5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i/>
              <w:color w:val="000000"/>
              <w:sz w:val="18"/>
              <w:szCs w:val="18"/>
            </w:rPr>
            <w:t>Data Revisão</w:t>
          </w:r>
        </w:p>
      </w:tc>
    </w:tr>
    <w:tr>
      <w:trPr>
        <w:trHeight w:val="600" w:hRule="atLeast"/>
      </w:trPr>
      <w:tc>
        <w:tcPr>
          <w:tcW w:w="5340" w:type="dxa"/>
          <w:tcBorders>
            <w:top w:val="single" w:sz="4" w:space="0" w:color="7F7F7F"/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eastAsia="Arial" w:cs="Arial" w:ascii="Arial" w:hAnsi="Arial"/>
              <w:b/>
              <w:color w:val="000000"/>
              <w:sz w:val="28"/>
              <w:szCs w:val="28"/>
            </w:rPr>
            <w:t>ELABORAÇÃO E MANUTENÇÃO DOS ARQUIVOS</w:t>
          </w:r>
        </w:p>
      </w:tc>
      <w:tc>
        <w:tcPr>
          <w:tcW w:w="1357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/>
          </w:pPr>
          <w:r>
            <w:rPr>
              <w:rFonts w:eastAsia="Arial" w:cs="Arial" w:ascii="Arial" w:hAnsi="Arial"/>
              <w:color w:val="000000"/>
              <w:sz w:val="24"/>
              <w:szCs w:val="24"/>
            </w:rPr>
            <w:t>01/2021</w:t>
          </w:r>
        </w:p>
      </w:tc>
      <w:tc>
        <w:tcPr>
          <w:tcW w:w="1802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/>
          </w:pPr>
          <w:r>
            <w:rPr>
              <w:rFonts w:eastAsia="Arial" w:cs="Arial" w:ascii="Arial" w:hAnsi="Arial"/>
              <w:color w:val="000000"/>
            </w:rPr>
            <w:t xml:space="preserve"> </w:t>
          </w:r>
          <w:r>
            <w:rPr>
              <w:rFonts w:eastAsia="Arial" w:cs="Arial" w:ascii="Arial" w:hAnsi="Arial"/>
              <w:color w:val="000000"/>
            </w:rPr>
            <w:t>03/05/2021</w:t>
          </w:r>
        </w:p>
      </w:tc>
    </w:tr>
  </w:tbl>
  <w:p>
    <w:pPr>
      <w:pStyle w:val="Normal"/>
      <w:pBdr>
        <w:bottom w:val="single" w:sz="12" w:space="0" w:color="000000"/>
      </w:pBdr>
      <w:spacing w:lineRule="auto" w:line="240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856f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856f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856f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856f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LibreOffice/7.1.3.2$Windows_X86_64 LibreOffice_project/47f78053abe362b9384784d31a6e56f8511eb1c1</Application>
  <AppVersion>15.0000</AppVersion>
  <Pages>9</Pages>
  <Words>876</Words>
  <Characters>5050</Characters>
  <CharactersWithSpaces>5847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2022-06-21T19:49:00Z</dcterms:created>
  <dc:creator>Francisco Jadson Franco Moreira</dc:creator>
  <dc:description/>
  <dc:language>pt-BR</dc:language>
  <cp:lastModifiedBy/>
  <dcterms:modified xsi:type="dcterms:W3CDTF">2022-09-21T16:08:38Z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